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7B" w:rsidRPr="00D82388" w:rsidRDefault="00594C7B" w:rsidP="00D82388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r w:rsidRPr="00D823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ตัวชี้วัดสำคัญ </w:t>
      </w:r>
      <w:r w:rsidR="00D82388" w:rsidRPr="00D823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ศูนย์เทคโนโลยีสารสนเทศ</w:t>
      </w:r>
    </w:p>
    <w:bookmarkEnd w:id="0"/>
    <w:p w:rsidR="00594C7B" w:rsidRPr="00D82388" w:rsidRDefault="00594C7B" w:rsidP="00594C7B">
      <w:pPr>
        <w:jc w:val="both"/>
        <w:rPr>
          <w:rFonts w:ascii="TH SarabunIT๙" w:hAnsi="TH SarabunIT๙" w:cs="TH SarabunIT๙"/>
          <w:sz w:val="28"/>
          <w:szCs w:val="28"/>
        </w:rPr>
      </w:pPr>
    </w:p>
    <w:tbl>
      <w:tblPr>
        <w:tblW w:w="147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1985"/>
        <w:gridCol w:w="992"/>
        <w:gridCol w:w="1276"/>
        <w:gridCol w:w="1276"/>
        <w:gridCol w:w="1275"/>
        <w:gridCol w:w="1134"/>
        <w:gridCol w:w="1276"/>
        <w:gridCol w:w="1276"/>
      </w:tblGrid>
      <w:tr w:rsidR="00FB47D2" w:rsidRPr="00D82388" w:rsidTr="00D82388">
        <w:trPr>
          <w:tblHeader/>
        </w:trPr>
        <w:tc>
          <w:tcPr>
            <w:tcW w:w="4253" w:type="dxa"/>
            <w:vMerge w:val="restart"/>
            <w:shd w:val="clear" w:color="auto" w:fill="B8CCE4"/>
          </w:tcPr>
          <w:p w:rsidR="00594C7B" w:rsidRPr="00D82388" w:rsidRDefault="00594C7B" w:rsidP="001A6AE3">
            <w:pPr>
              <w:jc w:val="center"/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85" w:type="dxa"/>
            <w:vMerge w:val="restart"/>
            <w:shd w:val="clear" w:color="auto" w:fill="B8CCE4"/>
          </w:tcPr>
          <w:p w:rsidR="00594C7B" w:rsidRPr="00D82388" w:rsidRDefault="00594C7B" w:rsidP="001A6AE3">
            <w:pPr>
              <w:jc w:val="center"/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4819" w:type="dxa"/>
            <w:gridSpan w:val="4"/>
            <w:shd w:val="clear" w:color="auto" w:fill="B8CCE4"/>
          </w:tcPr>
          <w:p w:rsidR="00594C7B" w:rsidRPr="00D82388" w:rsidRDefault="00594C7B" w:rsidP="001A6AE3">
            <w:pPr>
              <w:jc w:val="center"/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134" w:type="dxa"/>
            <w:vMerge w:val="restart"/>
            <w:shd w:val="clear" w:color="auto" w:fill="B8CCE4"/>
          </w:tcPr>
          <w:p w:rsidR="00594C7B" w:rsidRPr="00D82388" w:rsidRDefault="00594C7B" w:rsidP="001A6AE3">
            <w:pPr>
              <w:jc w:val="center"/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เป้าหมาย </w:t>
            </w:r>
            <w:r w:rsidRPr="00D82388"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  <w:br/>
            </w:r>
            <w:r w:rsidRPr="00D8238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D82388"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  <w:t>2563</w:t>
            </w:r>
          </w:p>
        </w:tc>
        <w:tc>
          <w:tcPr>
            <w:tcW w:w="1276" w:type="dxa"/>
            <w:vMerge w:val="restart"/>
            <w:shd w:val="clear" w:color="auto" w:fill="B8CCE4"/>
          </w:tcPr>
          <w:p w:rsidR="00594C7B" w:rsidRPr="00D82388" w:rsidRDefault="00594C7B" w:rsidP="001A6AE3">
            <w:pPr>
              <w:jc w:val="center"/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เป้าหมาย </w:t>
            </w:r>
            <w:r w:rsidRPr="00D82388"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  <w:br/>
            </w:r>
            <w:r w:rsidRPr="00D8238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D82388"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  <w:t>2564</w:t>
            </w:r>
          </w:p>
        </w:tc>
        <w:tc>
          <w:tcPr>
            <w:tcW w:w="1276" w:type="dxa"/>
            <w:vMerge w:val="restart"/>
            <w:shd w:val="clear" w:color="auto" w:fill="B8CCE4"/>
          </w:tcPr>
          <w:p w:rsidR="00594C7B" w:rsidRPr="00D82388" w:rsidRDefault="00594C7B" w:rsidP="001A6AE3">
            <w:pPr>
              <w:jc w:val="center"/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เป้าหมาย </w:t>
            </w:r>
            <w:r w:rsidRPr="00D82388"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  <w:br/>
            </w:r>
            <w:r w:rsidRPr="00D82388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ปี </w:t>
            </w:r>
            <w:r w:rsidRPr="00D82388"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  <w:t>2565</w:t>
            </w:r>
          </w:p>
        </w:tc>
      </w:tr>
      <w:tr w:rsidR="00D82388" w:rsidRPr="00D82388" w:rsidTr="00D82388">
        <w:trPr>
          <w:tblHeader/>
        </w:trPr>
        <w:tc>
          <w:tcPr>
            <w:tcW w:w="4253" w:type="dxa"/>
            <w:vMerge/>
            <w:shd w:val="clear" w:color="auto" w:fill="B8CCE4"/>
          </w:tcPr>
          <w:p w:rsidR="00594C7B" w:rsidRPr="00D82388" w:rsidRDefault="00594C7B" w:rsidP="001A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thaiDistribute"/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B8CCE4"/>
          </w:tcPr>
          <w:p w:rsidR="00594C7B" w:rsidRPr="00D82388" w:rsidRDefault="00594C7B" w:rsidP="0051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8CCE4"/>
          </w:tcPr>
          <w:p w:rsidR="00594C7B" w:rsidRPr="00D82388" w:rsidRDefault="00594C7B" w:rsidP="008B1590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D82388">
              <w:rPr>
                <w:rFonts w:ascii="TH SarabunIT๙" w:hAnsi="TH SarabunIT๙" w:cs="TH SarabunIT๙"/>
                <w:b/>
                <w:sz w:val="28"/>
                <w:szCs w:val="28"/>
              </w:rPr>
              <w:t>2559</w:t>
            </w:r>
          </w:p>
        </w:tc>
        <w:tc>
          <w:tcPr>
            <w:tcW w:w="1276" w:type="dxa"/>
            <w:shd w:val="clear" w:color="auto" w:fill="B8CCE4"/>
          </w:tcPr>
          <w:p w:rsidR="00594C7B" w:rsidRPr="00D82388" w:rsidRDefault="00594C7B" w:rsidP="008B1590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D82388">
              <w:rPr>
                <w:rFonts w:ascii="TH SarabunIT๙" w:hAnsi="TH SarabunIT๙" w:cs="TH SarabunIT๙"/>
                <w:b/>
                <w:sz w:val="28"/>
                <w:szCs w:val="28"/>
              </w:rPr>
              <w:t>2560</w:t>
            </w:r>
          </w:p>
        </w:tc>
        <w:tc>
          <w:tcPr>
            <w:tcW w:w="1276" w:type="dxa"/>
            <w:shd w:val="clear" w:color="auto" w:fill="B8CCE4"/>
          </w:tcPr>
          <w:p w:rsidR="00594C7B" w:rsidRPr="00D82388" w:rsidRDefault="00594C7B" w:rsidP="008B1590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D82388">
              <w:rPr>
                <w:rFonts w:ascii="TH SarabunIT๙" w:hAnsi="TH SarabunIT๙" w:cs="TH SarabunIT๙"/>
                <w:b/>
                <w:sz w:val="28"/>
                <w:szCs w:val="28"/>
              </w:rPr>
              <w:t>2561</w:t>
            </w:r>
          </w:p>
        </w:tc>
        <w:tc>
          <w:tcPr>
            <w:tcW w:w="1275" w:type="dxa"/>
            <w:shd w:val="clear" w:color="auto" w:fill="B8CCE4"/>
          </w:tcPr>
          <w:p w:rsidR="00594C7B" w:rsidRPr="00D82388" w:rsidRDefault="00594C7B" w:rsidP="008B1590">
            <w:pPr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 </w:t>
            </w:r>
            <w:r w:rsidRPr="00D82388">
              <w:rPr>
                <w:rFonts w:ascii="TH SarabunIT๙" w:hAnsi="TH SarabunIT๙" w:cs="TH SarabunIT๙"/>
                <w:b/>
                <w:sz w:val="28"/>
                <w:szCs w:val="28"/>
              </w:rPr>
              <w:t>2562</w:t>
            </w:r>
          </w:p>
        </w:tc>
        <w:tc>
          <w:tcPr>
            <w:tcW w:w="1134" w:type="dxa"/>
            <w:vMerge/>
            <w:shd w:val="clear" w:color="auto" w:fill="B8CCE4"/>
          </w:tcPr>
          <w:p w:rsidR="00594C7B" w:rsidRPr="00D82388" w:rsidRDefault="00594C7B" w:rsidP="008B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B8CCE4"/>
          </w:tcPr>
          <w:p w:rsidR="00594C7B" w:rsidRPr="00D82388" w:rsidRDefault="00594C7B" w:rsidP="008B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B8CCE4"/>
          </w:tcPr>
          <w:p w:rsidR="00594C7B" w:rsidRPr="00D82388" w:rsidRDefault="00594C7B" w:rsidP="008B1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sz w:val="28"/>
                <w:szCs w:val="28"/>
              </w:rPr>
            </w:pPr>
          </w:p>
        </w:tc>
      </w:tr>
      <w:tr w:rsidR="00594C7B" w:rsidRPr="00D82388" w:rsidTr="00D82388">
        <w:tc>
          <w:tcPr>
            <w:tcW w:w="4253" w:type="dxa"/>
          </w:tcPr>
          <w:p w:rsidR="00594C7B" w:rsidRPr="00D82388" w:rsidRDefault="00594C7B" w:rsidP="00D82388">
            <w:pPr>
              <w:spacing w:line="280" w:lineRule="exact"/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. </w:t>
            </w:r>
            <w:r w:rsidR="006B2F92"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ชม. ที่ไม่สามารถให้บริการต่อ</w:t>
            </w:r>
            <w:r w:rsidR="00575954"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6B2F92" w:rsidRPr="00D82388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575954"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6B2F92"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ระบบของ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ศูนย์ข้อมูลหลัก</w:t>
            </w:r>
            <w:r w:rsidR="00575954"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(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Data Center 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: 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DC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)</w:t>
            </w:r>
            <w:r w:rsidR="005135DF"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และ/ห</w:t>
            </w:r>
            <w:r w:rsidR="005135DF"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รือระบบเครื่องคอมพิวเตอร์แม่ข่าย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มีความต่อเนื่องในการให้บริการ (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SLA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1985" w:type="dxa"/>
          </w:tcPr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="005135DF"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ช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ม. </w:t>
            </w:r>
            <w:r w:rsidR="005135DF"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ที่ไม่สามารถ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ให้บริการต่อระบบ</w:t>
            </w:r>
          </w:p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ได้รับมาตรฐาน </w:t>
            </w: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ISO</w:t>
            </w:r>
          </w:p>
        </w:tc>
        <w:tc>
          <w:tcPr>
            <w:tcW w:w="992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12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ชม./สัปดาห์</w:t>
            </w:r>
          </w:p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8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ชม./สัปดาห์</w:t>
            </w:r>
          </w:p>
          <w:p w:rsidR="00D82388" w:rsidRDefault="00D82388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ISO 27001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DC</w:t>
            </w:r>
          </w:p>
        </w:tc>
        <w:tc>
          <w:tcPr>
            <w:tcW w:w="1276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8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ชม./สัปดาห์</w:t>
            </w:r>
          </w:p>
          <w:p w:rsidR="00D82388" w:rsidRDefault="00D82388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ISO 27001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DC</w:t>
            </w:r>
          </w:p>
        </w:tc>
        <w:tc>
          <w:tcPr>
            <w:tcW w:w="1275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8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ชม./สัปดาห์</w:t>
            </w:r>
          </w:p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ISO 27001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DC</w:t>
            </w:r>
          </w:p>
        </w:tc>
        <w:tc>
          <w:tcPr>
            <w:tcW w:w="1134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ชม./สัปดาห์</w:t>
            </w:r>
          </w:p>
          <w:p w:rsidR="00E376CC" w:rsidRPr="00D82388" w:rsidRDefault="00E376CC" w:rsidP="00D82388">
            <w:pPr>
              <w:spacing w:line="280" w:lineRule="exact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ISO 27001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DC</w:t>
            </w:r>
          </w:p>
        </w:tc>
        <w:tc>
          <w:tcPr>
            <w:tcW w:w="1276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ชม./สัปดาห์</w:t>
            </w:r>
          </w:p>
          <w:p w:rsidR="00E376CC" w:rsidRPr="00D82388" w:rsidRDefault="00E376CC" w:rsidP="00D82388">
            <w:pPr>
              <w:spacing w:line="280" w:lineRule="exact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ISO 27001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DC</w:t>
            </w:r>
          </w:p>
        </w:tc>
        <w:tc>
          <w:tcPr>
            <w:tcW w:w="1276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ชม./สัปดาห์</w:t>
            </w:r>
          </w:p>
          <w:p w:rsidR="00E376CC" w:rsidRPr="00D82388" w:rsidRDefault="00E376CC" w:rsidP="00D82388">
            <w:pPr>
              <w:spacing w:line="280" w:lineRule="exact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ISO 27001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DC</w:t>
            </w:r>
          </w:p>
        </w:tc>
      </w:tr>
      <w:tr w:rsidR="00594C7B" w:rsidRPr="00D82388" w:rsidTr="00D82388">
        <w:tc>
          <w:tcPr>
            <w:tcW w:w="4253" w:type="dxa"/>
          </w:tcPr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. </w:t>
            </w:r>
            <w:r w:rsidR="006B2F92"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ระยะเวลาการขึ้น</w:t>
            </w:r>
            <w:r w:rsidR="005517D0"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ให้</w:t>
            </w:r>
            <w:r w:rsidR="006B2F92"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บริการของ 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ศูนย์สำรองระบบสารสนเทศ</w:t>
            </w:r>
            <w:r w:rsidR="006B2F92"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(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Disaster Recover Site 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: 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DR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) สามาร</w:t>
            </w:r>
            <w:r w:rsidR="005135DF"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ถ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ขึ้นให้บริการได้ (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SLA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) ภายใน 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4 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ชั่วโมงนับแต่ศูนย์ข้อมูลหลัก</w:t>
            </w:r>
            <w:r w:rsidR="006B2F92"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(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Data Center 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: 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DC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) ไม่สามารถให้บริการได้ </w:t>
            </w:r>
          </w:p>
        </w:tc>
        <w:tc>
          <w:tcPr>
            <w:tcW w:w="1985" w:type="dxa"/>
          </w:tcPr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ระยะเวลาการ</w:t>
            </w:r>
            <w:r w:rsidR="005517D0"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ให้บริการ</w:t>
            </w:r>
          </w:p>
        </w:tc>
        <w:tc>
          <w:tcPr>
            <w:tcW w:w="992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ชม.</w:t>
            </w:r>
          </w:p>
        </w:tc>
        <w:tc>
          <w:tcPr>
            <w:tcW w:w="1276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ชม.</w:t>
            </w:r>
          </w:p>
        </w:tc>
        <w:tc>
          <w:tcPr>
            <w:tcW w:w="1276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ชม.</w:t>
            </w:r>
          </w:p>
        </w:tc>
      </w:tr>
      <w:tr w:rsidR="00594C7B" w:rsidRPr="00D82388" w:rsidTr="00D82388">
        <w:tc>
          <w:tcPr>
            <w:tcW w:w="4253" w:type="dxa"/>
          </w:tcPr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.</w:t>
            </w:r>
            <w:r w:rsidR="006B2F92"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ชม. ที่ไม่สามารถให้บริการต่อหน่วยงานของ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ระบบเครือข่ายสื่อสารข้อมูลสารสนเทศมีความต่อเนื่องในการให้บริการ (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SLA</w:t>
            </w:r>
            <w:r w:rsidRPr="00D8238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1985" w:type="dxa"/>
          </w:tcPr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="00E234CE"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ช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ม. ที่ไม่สามารถให้บริการต่อหน่วยงาน</w:t>
            </w:r>
          </w:p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ได้รับมาตรฐาน </w:t>
            </w: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ISO</w:t>
            </w:r>
          </w:p>
        </w:tc>
        <w:tc>
          <w:tcPr>
            <w:tcW w:w="992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12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ชม./สัปดาห์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2966" w:rsidRPr="00D82388" w:rsidRDefault="00F32966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8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ชม./สัปดาห์</w:t>
            </w:r>
          </w:p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2966" w:rsidRPr="00D82388" w:rsidRDefault="00F32966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ISO 27001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ศูนย์ </w:t>
            </w: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NOC</w:t>
            </w:r>
          </w:p>
        </w:tc>
        <w:tc>
          <w:tcPr>
            <w:tcW w:w="1276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8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ชม./สัปดาห์</w:t>
            </w:r>
          </w:p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2966" w:rsidRPr="00D82388" w:rsidRDefault="00F32966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B772A" w:rsidRPr="00D82388" w:rsidRDefault="00FB772A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ISO 27001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ศูนย์ </w:t>
            </w: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NOC</w:t>
            </w:r>
          </w:p>
        </w:tc>
        <w:tc>
          <w:tcPr>
            <w:tcW w:w="1275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8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ชม./สัปดาห์</w:t>
            </w:r>
          </w:p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2966" w:rsidRPr="00D82388" w:rsidRDefault="00F32966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ISO 27001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ศูนย์ </w:t>
            </w: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NOC</w:t>
            </w:r>
          </w:p>
        </w:tc>
        <w:tc>
          <w:tcPr>
            <w:tcW w:w="1134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ชม./สัปดาห์</w:t>
            </w:r>
          </w:p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2966" w:rsidRPr="00D82388" w:rsidRDefault="00F32966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ISO 27001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ศูนย์ </w:t>
            </w: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NOC</w:t>
            </w:r>
          </w:p>
        </w:tc>
        <w:tc>
          <w:tcPr>
            <w:tcW w:w="1276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ชม./สัปดาห์</w:t>
            </w:r>
          </w:p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2966" w:rsidRPr="00D82388" w:rsidRDefault="00F32966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ISO 27001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ศูนย์ </w:t>
            </w: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NOC</w:t>
            </w:r>
          </w:p>
        </w:tc>
        <w:tc>
          <w:tcPr>
            <w:tcW w:w="1276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ชม./สัปดาห์</w:t>
            </w:r>
          </w:p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2966" w:rsidRPr="00D82388" w:rsidRDefault="00F32966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ISO 27001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ศูนย์ </w:t>
            </w: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NOC</w:t>
            </w:r>
          </w:p>
        </w:tc>
      </w:tr>
      <w:tr w:rsidR="00594C7B" w:rsidRPr="00D82388" w:rsidTr="00D82388">
        <w:tc>
          <w:tcPr>
            <w:tcW w:w="4253" w:type="dxa"/>
          </w:tcPr>
          <w:p w:rsidR="00594C7B" w:rsidRPr="00D82388" w:rsidRDefault="00594C7B" w:rsidP="00D82388">
            <w:pPr>
              <w:spacing w:line="280" w:lineRule="exact"/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 w:rsidR="006B2F92"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จำนวนครั้งที่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มีการวิเคราะห์ความเสี่ยง</w:t>
            </w:r>
            <w:r w:rsidR="006B2F92"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ในด้านของการถูกบุกรุกและ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การป้องกันการโจมตีทางไซเบอร์</w:t>
            </w:r>
          </w:p>
        </w:tc>
        <w:tc>
          <w:tcPr>
            <w:tcW w:w="1985" w:type="dxa"/>
          </w:tcPr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trike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) จำนวนครั้ง</w:t>
            </w:r>
          </w:p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517D0" w:rsidRPr="00D82388" w:rsidRDefault="005517D0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ได้รับมาตรฐาน </w:t>
            </w: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ISO</w:t>
            </w:r>
          </w:p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6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ครั้ง/ปี</w:t>
            </w:r>
          </w:p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6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ครั้ง/ปี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2388" w:rsidRDefault="00D82388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ISO 27001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ศูนย์ </w:t>
            </w: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SOC</w:t>
            </w:r>
          </w:p>
        </w:tc>
        <w:tc>
          <w:tcPr>
            <w:tcW w:w="1276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3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ครั้ง/ปี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ISO 27001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ศูนย์ </w:t>
            </w: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SOC</w:t>
            </w:r>
          </w:p>
        </w:tc>
        <w:tc>
          <w:tcPr>
            <w:tcW w:w="1275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ครั้ง/ปี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ISO 27001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ศูนย์ </w:t>
            </w: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SOC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/ปี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ISO 27001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ศูนย์ </w:t>
            </w: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SOC</w:t>
            </w:r>
          </w:p>
        </w:tc>
        <w:tc>
          <w:tcPr>
            <w:tcW w:w="1276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/ปี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2388" w:rsidRDefault="00D82388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ISO 27001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ศูนย์ </w:t>
            </w: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SOC</w:t>
            </w:r>
          </w:p>
        </w:tc>
        <w:tc>
          <w:tcPr>
            <w:tcW w:w="1276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/ปี</w:t>
            </w:r>
          </w:p>
          <w:p w:rsidR="00594C7B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82388" w:rsidRPr="00D82388" w:rsidRDefault="00D82388" w:rsidP="00D82388">
            <w:pPr>
              <w:spacing w:line="280" w:lineRule="exact"/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ISO 27001</w:t>
            </w:r>
          </w:p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ศูนย์ </w:t>
            </w: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SOC</w:t>
            </w:r>
          </w:p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94C7B" w:rsidRPr="00D82388" w:rsidTr="00D82388">
        <w:tc>
          <w:tcPr>
            <w:tcW w:w="4253" w:type="dxa"/>
          </w:tcPr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6B2F92"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จำนวนครั้งใน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การเตรียมพร้อมต่อ</w:t>
            </w:r>
            <w:r w:rsidR="006B2F92"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ภัยพิบัติและภาวะฉุกเฉิน ที่มีประสิทธิผล (</w:t>
            </w:r>
            <w:r w:rsidR="006B2F92" w:rsidRPr="00D82388">
              <w:rPr>
                <w:rFonts w:ascii="TH SarabunIT๙" w:hAnsi="TH SarabunIT๙" w:cs="TH SarabunIT๙"/>
                <w:sz w:val="28"/>
                <w:szCs w:val="28"/>
              </w:rPr>
              <w:t>Cyber security</w:t>
            </w: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 and BCM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985" w:type="dxa"/>
          </w:tcPr>
          <w:p w:rsidR="00594C7B" w:rsidRPr="00D82388" w:rsidRDefault="00594C7B" w:rsidP="00D82388">
            <w:pPr>
              <w:spacing w:line="28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- การทดสอบการขึ้นใช้ระบบสำรองระบบสารสนเทศ</w:t>
            </w:r>
          </w:p>
        </w:tc>
        <w:tc>
          <w:tcPr>
            <w:tcW w:w="992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ครั้ง/ปี</w:t>
            </w:r>
          </w:p>
        </w:tc>
        <w:tc>
          <w:tcPr>
            <w:tcW w:w="1134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ครั้ง/ปี</w:t>
            </w:r>
          </w:p>
        </w:tc>
        <w:tc>
          <w:tcPr>
            <w:tcW w:w="1276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ครั้ง/ปี</w:t>
            </w:r>
          </w:p>
        </w:tc>
        <w:tc>
          <w:tcPr>
            <w:tcW w:w="1276" w:type="dxa"/>
          </w:tcPr>
          <w:p w:rsidR="00594C7B" w:rsidRPr="00D82388" w:rsidRDefault="00594C7B" w:rsidP="00D82388">
            <w:pPr>
              <w:spacing w:line="28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2388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D82388">
              <w:rPr>
                <w:rFonts w:ascii="TH SarabunIT๙" w:hAnsi="TH SarabunIT๙" w:cs="TH SarabunIT๙"/>
                <w:sz w:val="28"/>
                <w:szCs w:val="28"/>
                <w:cs/>
              </w:rPr>
              <w:t>ครั้ง/ปี</w:t>
            </w:r>
          </w:p>
        </w:tc>
      </w:tr>
    </w:tbl>
    <w:p w:rsidR="000847FD" w:rsidRPr="00D82388" w:rsidRDefault="000847FD" w:rsidP="00D82388">
      <w:pPr>
        <w:rPr>
          <w:rFonts w:ascii="TH SarabunIT๙" w:hAnsi="TH SarabunIT๙" w:cs="TH SarabunIT๙"/>
          <w:sz w:val="28"/>
          <w:szCs w:val="28"/>
        </w:rPr>
      </w:pPr>
    </w:p>
    <w:sectPr w:rsidR="000847FD" w:rsidRPr="00D82388" w:rsidSect="00594C7B">
      <w:pgSz w:w="16838" w:h="11906" w:orient="landscape"/>
      <w:pgMar w:top="1440" w:right="1440" w:bottom="1440" w:left="1440" w:header="708" w:footer="708" w:gutter="0"/>
      <w:cols w:space="708"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7B"/>
    <w:rsid w:val="00083801"/>
    <w:rsid w:val="000847FD"/>
    <w:rsid w:val="0011063E"/>
    <w:rsid w:val="001A6AE3"/>
    <w:rsid w:val="001F56F6"/>
    <w:rsid w:val="003867BB"/>
    <w:rsid w:val="0039778D"/>
    <w:rsid w:val="004D57F4"/>
    <w:rsid w:val="005135DF"/>
    <w:rsid w:val="005517D0"/>
    <w:rsid w:val="00575954"/>
    <w:rsid w:val="00594C7B"/>
    <w:rsid w:val="00642CAA"/>
    <w:rsid w:val="006B2F92"/>
    <w:rsid w:val="00D82388"/>
    <w:rsid w:val="00E234CE"/>
    <w:rsid w:val="00E376CC"/>
    <w:rsid w:val="00F32966"/>
    <w:rsid w:val="00FB47D2"/>
    <w:rsid w:val="00FB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F3B0"/>
  <w15:docId w15:val="{D14A79BF-0E72-4A11-B0EB-1E69561B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4C7B"/>
    <w:pPr>
      <w:spacing w:after="0" w:line="240" w:lineRule="auto"/>
    </w:pPr>
    <w:rPr>
      <w:rFonts w:ascii="Sarabun" w:eastAsia="Sarabun" w:hAnsi="Sarabun" w:cs="Sarabun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388"/>
    <w:rPr>
      <w:rFonts w:ascii="Leelawadee UI" w:hAnsi="Leelawade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2388"/>
    <w:rPr>
      <w:rFonts w:ascii="Leelawadee UI" w:eastAsia="Sarabun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Hewlett-Packard Company</cp:lastModifiedBy>
  <cp:revision>13</cp:revision>
  <cp:lastPrinted>2019-03-26T07:25:00Z</cp:lastPrinted>
  <dcterms:created xsi:type="dcterms:W3CDTF">2019-02-27T06:21:00Z</dcterms:created>
  <dcterms:modified xsi:type="dcterms:W3CDTF">2019-03-26T07:27:00Z</dcterms:modified>
</cp:coreProperties>
</file>